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1C8EF">
      <w:pPr>
        <w:spacing w:line="480" w:lineRule="auto"/>
        <w:jc w:val="both"/>
        <w:outlineLvl w:val="0"/>
        <w:rPr>
          <w:rFonts w:ascii="Times New Roman" w:hAnsi="Times New Roman"/>
          <w:b/>
          <w:bCs/>
        </w:rPr>
      </w:pPr>
      <w:bookmarkStart w:id="3" w:name="_GoBack"/>
      <w:bookmarkStart w:id="0" w:name="supplementary-figure-legends"/>
      <w:bookmarkStart w:id="1" w:name="supplementary-materials"/>
      <w:r>
        <w:rPr>
          <w:rFonts w:hint="eastAsia" w:ascii="Times New Roman" w:hAnsi="Times New Roman"/>
          <w:b/>
          <w:bCs/>
        </w:rPr>
        <w:t>Supplementary Materials</w:t>
      </w:r>
    </w:p>
    <w:bookmarkEnd w:id="3"/>
    <w:p w14:paraId="15B327FB">
      <w:pPr>
        <w:spacing w:line="480" w:lineRule="auto"/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Supplementary Figure Legends</w:t>
      </w:r>
    </w:p>
    <w:p w14:paraId="579EA506">
      <w:pPr>
        <w:spacing w:line="480" w:lineRule="auto"/>
        <w:jc w:val="center"/>
        <w:outlineLvl w:val="0"/>
        <w:rPr>
          <w:rFonts w:hint="eastAsia" w:ascii="Times New Roman" w:hAnsi="Times New Roman" w:eastAsia="等线"/>
          <w:b/>
          <w:bCs/>
          <w:lang w:eastAsia="zh-CN"/>
        </w:rPr>
      </w:pPr>
      <w:r>
        <w:rPr>
          <w:rFonts w:hint="eastAsia" w:ascii="Times New Roman" w:hAnsi="Times New Roman" w:eastAsia="等线"/>
          <w:b/>
          <w:bCs/>
          <w:lang w:eastAsia="zh-CN"/>
        </w:rPr>
        <w:drawing>
          <wp:inline distT="0" distB="0" distL="114300" distR="114300">
            <wp:extent cx="2932430" cy="2630170"/>
            <wp:effectExtent l="0" t="0" r="8890" b="6350"/>
            <wp:docPr id="1" name="图片 1" descr="FigureS1_correlation_matrix_comb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S1_correlation_matrix_combin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5B2CC">
      <w:pPr>
        <w:pStyle w:val="5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S1. Correlation matrices of PGS weights across populations.</w:t>
      </w:r>
      <w:r>
        <w:rPr>
          <w:rFonts w:ascii="Times New Roman" w:hAnsi="Times New Roman"/>
        </w:rPr>
        <w:t xml:space="preserve"> Pearson (left panel) and Spearman (right panel) correlation matrices of PGS weights for all 7,983 shared SNPs across 5 populations. Pearson correlations range from 0.15 (EUR-AFR) to 0.82 (EUR-ALL); Spearman rank correlations are consistently lower, reflecting non-linear weight relationships.</w:t>
      </w:r>
    </w:p>
    <w:p w14:paraId="668E8AA1">
      <w:pPr>
        <w:pStyle w:val="2"/>
        <w:jc w:val="center"/>
        <w:rPr>
          <w:rFonts w:hint="eastAsia" w:eastAsia="等线"/>
          <w:lang w:eastAsia="zh-CN"/>
        </w:rPr>
      </w:pPr>
      <w:r>
        <w:rPr>
          <w:rFonts w:hint="eastAsia" w:eastAsia="等线"/>
          <w:lang w:eastAsia="zh-CN"/>
        </w:rPr>
        <w:drawing>
          <wp:inline distT="0" distB="0" distL="114300" distR="114300">
            <wp:extent cx="2944495" cy="2334895"/>
            <wp:effectExtent l="0" t="0" r="12065" b="12065"/>
            <wp:docPr id="2" name="图片 2" descr="FigureS2_parameter_sensi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S2_parameter_sensitivity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233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E411C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S2. Parameter sensitivity analysis for CPCS identification.</w:t>
      </w:r>
      <w:r>
        <w:rPr>
          <w:rFonts w:ascii="Times New Roman" w:hAnsi="Times New Roman"/>
        </w:rPr>
        <w:t xml:space="preserve"> (A) Heatmap showing the number of CPCS identified across 15 parameter combinations: 5 top-weight percentage thresholds (10%, 15%, 20%, 25%, 30%) x 3 LD window sizes (250 kb, 500 kb, 1,000 kb with r^2 &lt; 0.1). The default setting (top 20%, 500 kb window) yields 9 CPCS. (B) Pairwise Jaccard index matrix between CPCS sets identified at five top-weight percentage thresholds (with LD parameters fixed at default). Jaccard values range from 0.556 (top 10% vs top 20%) to 1.000 (top 20% vs top 25%/30%), indicating high stability at the default and above-default threshold settings. All 9 default CPCS are recovered at top 15% and above.</w:t>
      </w:r>
    </w:p>
    <w:p w14:paraId="2A5C6A1D">
      <w:pPr>
        <w:pStyle w:val="2"/>
        <w:spacing w:line="480" w:lineRule="auto"/>
        <w:jc w:val="both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5271135" cy="2194560"/>
            <wp:effectExtent l="0" t="0" r="1905" b="0"/>
            <wp:docPr id="3" name="图片 3" descr="FigureS3_chromosome_ide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S3_chromosome_ideogra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F3795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S3. Chromosomal distribution of 9 CPCS.</w:t>
      </w:r>
      <w:r>
        <w:rPr>
          <w:rFonts w:ascii="Times New Roman" w:hAnsi="Times New Roman"/>
        </w:rPr>
        <w:t xml:space="preserve"> Ideogram showing the genomic locations of 9 CPCS across the human genome (GRCh38). Variants distribute across 7 chromosomes (5, 7, 8, 9, 11, 12, 16) with no evidence of chromosomal clustering.</w:t>
      </w:r>
    </w:p>
    <w:p w14:paraId="15F75144">
      <w:pPr>
        <w:pStyle w:val="2"/>
        <w:spacing w:line="480" w:lineRule="auto"/>
        <w:jc w:val="both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5269865" cy="4895215"/>
            <wp:effectExtent l="0" t="0" r="3175" b="12065"/>
            <wp:docPr id="4" name="图片 4" descr="FigureS4_per_snp_weight_prof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S4_per_snp_weight_profil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89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CC53F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S4. Per-SNP PGS weight profiles across populations.</w:t>
      </w:r>
      <w:r>
        <w:rPr>
          <w:rFonts w:ascii="Times New Roman" w:hAnsi="Times New Roman"/>
        </w:rPr>
        <w:t xml:space="preserve"> Individual line plots for each of the 9 CPCS showing absolute PGS weights across all 5 populations. Consistent weight direction and magnitude are evident for all CPCS, with population-specific variation in absolute weight scale.</w:t>
      </w:r>
    </w:p>
    <w:p w14:paraId="3BBE875A">
      <w:pPr>
        <w:pStyle w:val="2"/>
        <w:spacing w:line="480" w:lineRule="auto"/>
        <w:jc w:val="both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5274310" cy="2441575"/>
            <wp:effectExtent l="0" t="0" r="13970" b="12065"/>
            <wp:docPr id="5" name="图片 5" descr="FigureS5_bbj_validation_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gureS5_bbj_validation_detail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61E0C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S5. BioBank Japan validation scatter plot with individual SNP labels.</w:t>
      </w:r>
      <w:r>
        <w:rPr>
          <w:rFonts w:ascii="Times New Roman" w:hAnsi="Times New Roman"/>
        </w:rPr>
        <w:t xml:space="preserve"> Detailed scatter plot of EAS PGS weights versus BBJ effect sizes with all 9 CPCS individually labeled. Regression line and Pearson correlation shown. Points are color-coded by associated gene.</w:t>
      </w:r>
    </w:p>
    <w:p w14:paraId="374005AC">
      <w:pPr>
        <w:pStyle w:val="2"/>
        <w:spacing w:line="480" w:lineRule="auto"/>
        <w:jc w:val="center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2974975" cy="3279775"/>
            <wp:effectExtent l="0" t="0" r="12065" b="12065"/>
            <wp:docPr id="6" name="图片 6" descr="FigureS6_ld_overl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igureS6_ld_overlap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327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31602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S6. LD overlap between CPCS and Yengo 2022 genome-wide significant SNPs.</w:t>
      </w:r>
      <w:r>
        <w:rPr>
          <w:rFonts w:ascii="Times New Roman" w:hAnsi="Times New Roman"/>
        </w:rPr>
        <w:t xml:space="preserve"> Bar chart showing the number of Yengo et al. GWS SNPs within 500 kb at r^2 &gt;= 0.1 for each CPCS neighborhood. A total of 122 GWS SNPs overlap CPCS LD neighborhoods, confirming CPCS reside within established height-associated genomic regions.</w:t>
      </w:r>
    </w:p>
    <w:p w14:paraId="7521DD73">
      <w:pPr>
        <w:pStyle w:val="2"/>
        <w:spacing w:line="480" w:lineRule="auto"/>
        <w:jc w:val="both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5271770" cy="2394585"/>
            <wp:effectExtent l="0" t="0" r="1270" b="13335"/>
            <wp:docPr id="7" name="图片 7" descr="FigureS7_eqtlgen_full_landsc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igureS7_eqtlgen_full_landscap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26370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S7. Full eQTLGen cis-eQTL landscape for 9 CPCS.</w:t>
      </w:r>
      <w:r>
        <w:rPr>
          <w:rFonts w:ascii="Times New Roman" w:hAnsi="Times New Roman"/>
        </w:rPr>
        <w:t xml:space="preserve"> Comprehensive plot of all 252 eQTLGen SNP-gene associations for the 9 CPCS, including both significant (</w:t>
      </w:r>
      <w:r>
        <w:rPr>
          <w:rFonts w:ascii="Times New Roman" w:hAnsi="Times New Roman"/>
          <w:i/>
          <w:iCs/>
        </w:rPr>
        <w:t>FDR</w:t>
      </w:r>
      <w:r>
        <w:rPr>
          <w:rFonts w:ascii="Times New Roman" w:hAnsi="Times New Roman"/>
        </w:rPr>
        <w:t xml:space="preserve"> &lt; 0.05) and non-significant pairs. X-axis: Z-score; Y-axis: -log10(</w:t>
      </w:r>
      <w:r>
        <w:rPr>
          <w:rFonts w:ascii="Times New Roman" w:hAnsi="Times New Roman"/>
          <w:i/>
          <w:iCs/>
        </w:rPr>
        <w:t>FDR</w:t>
      </w:r>
      <w:r>
        <w:rPr>
          <w:rFonts w:ascii="Times New Roman" w:hAnsi="Times New Roman"/>
        </w:rPr>
        <w:t>). The 9 significant pairs are highlighted.</w:t>
      </w:r>
    </w:p>
    <w:p w14:paraId="09D884AB">
      <w:pPr>
        <w:pStyle w:val="2"/>
        <w:spacing w:line="480" w:lineRule="auto"/>
        <w:jc w:val="both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5271770" cy="2480310"/>
            <wp:effectExtent l="0" t="0" r="1270" b="3810"/>
            <wp:docPr id="8" name="图片 8" descr="FigureS8_coloc_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S8_coloc_detail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8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9B8CC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S8. COLOC detailed posterior probability plots.</w:t>
      </w:r>
      <w:r>
        <w:rPr>
          <w:rFonts w:ascii="Times New Roman" w:hAnsi="Times New Roman"/>
        </w:rPr>
        <w:t xml:space="preserve"> Individual COLOC posterior probability bar charts for each of the 9 tested locus-gene pairs, showing the decomposition into PP.H0 through </w:t>
      </w:r>
      <w:r>
        <w:rPr>
          <w:rFonts w:ascii="Times New Roman" w:hAnsi="Times New Roman"/>
          <w:i/>
          <w:iCs/>
        </w:rPr>
        <w:t>PP.H4</w:t>
      </w:r>
      <w:r>
        <w:rPr>
          <w:rFonts w:ascii="Times New Roman" w:hAnsi="Times New Roman"/>
        </w:rPr>
        <w:t xml:space="preserve">. Seven pairs show </w:t>
      </w:r>
      <w:r>
        <w:rPr>
          <w:rFonts w:ascii="Times New Roman" w:hAnsi="Times New Roman"/>
          <w:i/>
          <w:iCs/>
        </w:rPr>
        <w:t>PP.H3</w:t>
      </w:r>
      <w:r>
        <w:rPr>
          <w:rFonts w:ascii="Times New Roman" w:hAnsi="Times New Roman"/>
        </w:rPr>
        <w:t xml:space="preserve"> approximately equal to 1.0; rs4320932-</w:t>
      </w:r>
      <w:r>
        <w:rPr>
          <w:rFonts w:ascii="Times New Roman" w:hAnsi="Times New Roman"/>
          <w:i/>
          <w:iCs/>
        </w:rPr>
        <w:t>TSSC4</w:t>
      </w:r>
      <w:r>
        <w:rPr>
          <w:rFonts w:ascii="Times New Roman" w:hAnsi="Times New Roman"/>
        </w:rPr>
        <w:t xml:space="preserve"> shows </w:t>
      </w:r>
      <w:r>
        <w:rPr>
          <w:rFonts w:ascii="Times New Roman" w:hAnsi="Times New Roman"/>
          <w:i/>
          <w:iCs/>
        </w:rPr>
        <w:t>PP.H3</w:t>
      </w:r>
      <w:r>
        <w:rPr>
          <w:rFonts w:ascii="Times New Roman" w:hAnsi="Times New Roman"/>
        </w:rPr>
        <w:t xml:space="preserve"> = 0.999; rs4320932-</w:t>
      </w:r>
      <w:r>
        <w:rPr>
          <w:rFonts w:ascii="Times New Roman" w:hAnsi="Times New Roman"/>
          <w:i/>
          <w:iCs/>
        </w:rPr>
        <w:t>NAP1L4</w:t>
      </w:r>
      <w:r>
        <w:rPr>
          <w:rFonts w:ascii="Times New Roman" w:hAnsi="Times New Roman"/>
        </w:rPr>
        <w:t xml:space="preserve"> shows PP.H1 = 0.95 (GWAS-only signal).</w:t>
      </w:r>
    </w:p>
    <w:p w14:paraId="0925377F">
      <w:pPr>
        <w:pStyle w:val="2"/>
        <w:spacing w:line="480" w:lineRule="auto"/>
        <w:jc w:val="both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5269865" cy="2366010"/>
            <wp:effectExtent l="0" t="0" r="3175" b="11430"/>
            <wp:docPr id="9" name="图片 9" descr="FigureS9_gtex_multitissue_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igureS9_gtex_multitissue_detail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30A32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S9. GTEx multi-tissue eQTL detail for 4 CPCS with significant hits.</w:t>
      </w:r>
      <w:r>
        <w:rPr>
          <w:rFonts w:ascii="Times New Roman" w:hAnsi="Times New Roman"/>
        </w:rPr>
        <w:t xml:space="preserve"> Detailed heatmap of GTEx v10 eQTL results for rs2277339, rs34571768, rs12669267, and rs246185 across 6 tissues, showing effect sizes (beta) and significance levels. Highlights: rs2277339-</w:t>
      </w:r>
      <w:r>
        <w:rPr>
          <w:rFonts w:ascii="Times New Roman" w:hAnsi="Times New Roman"/>
          <w:i/>
          <w:iCs/>
        </w:rPr>
        <w:t>PRIM1</w:t>
      </w:r>
      <w:r>
        <w:rPr>
          <w:rFonts w:ascii="Times New Roman" w:hAnsi="Times New Roman"/>
        </w:rPr>
        <w:t xml:space="preserve"> replication in 3 tissues; rs34571768-</w:t>
      </w:r>
      <w:r>
        <w:rPr>
          <w:rFonts w:ascii="Times New Roman" w:hAnsi="Times New Roman"/>
          <w:i/>
          <w:iCs/>
        </w:rPr>
        <w:t>PSMC6P</w:t>
      </w:r>
      <w:r>
        <w:rPr>
          <w:rFonts w:ascii="Times New Roman" w:hAnsi="Times New Roman"/>
        </w:rPr>
        <w:t xml:space="preserve"> pituitary-specific eQTL; rs246185 significant in 3 tissues (Muscle, Skin, Nerve) despite no eQTLGen signal.</w:t>
      </w:r>
    </w:p>
    <w:p w14:paraId="049AAF14">
      <w:pPr>
        <w:pStyle w:val="2"/>
        <w:spacing w:line="480" w:lineRule="auto"/>
        <w:jc w:val="center"/>
        <w:outlineLvl w:val="1"/>
        <w:rPr>
          <w:rFonts w:hint="eastAsia"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drawing>
          <wp:inline distT="0" distB="0" distL="114300" distR="114300">
            <wp:extent cx="3060065" cy="2377440"/>
            <wp:effectExtent l="0" t="0" r="3175" b="0"/>
            <wp:docPr id="10" name="图片 10" descr="FigureS10_heterogeneity_distribu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igureS10_heterogeneity_distribution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16629">
      <w:pPr>
        <w:pStyle w:val="2"/>
        <w:spacing w:line="48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Figure S10. Cross-population heterogeneity distribution.</w:t>
      </w:r>
      <w:r>
        <w:rPr>
          <w:rFonts w:ascii="Times New Roman" w:hAnsi="Times New Roman"/>
        </w:rPr>
        <w:t xml:space="preserve"> Histogram and density plot of the coefficient of variation (</w:t>
      </w:r>
      <w:r>
        <w:rPr>
          <w:rFonts w:ascii="Times New Roman" w:hAnsi="Times New Roman"/>
          <w:i/>
          <w:iCs/>
        </w:rPr>
        <w:t>CV</w:t>
      </w:r>
      <w:r>
        <w:rPr>
          <w:rFonts w:ascii="Times New Roman" w:hAnsi="Times New Roman"/>
        </w:rPr>
        <w:t>) for absolute PGS weights across all 7,983 shared SNPs, with positions of the 9 CPCS indicated. CPCS occupy the low-</w:t>
      </w:r>
      <w:r>
        <w:rPr>
          <w:rFonts w:ascii="Times New Roman" w:hAnsi="Times New Roman"/>
          <w:i/>
          <w:iCs/>
        </w:rPr>
        <w:t>CV</w:t>
      </w:r>
      <w:r>
        <w:rPr>
          <w:rFonts w:ascii="Times New Roman" w:hAnsi="Times New Roman"/>
        </w:rPr>
        <w:t xml:space="preserve"> tail of the distribution (median </w:t>
      </w:r>
      <w:r>
        <w:rPr>
          <w:rFonts w:ascii="Times New Roman" w:hAnsi="Times New Roman"/>
          <w:i/>
          <w:iCs/>
        </w:rPr>
        <w:t>CV</w:t>
      </w:r>
      <w:r>
        <w:rPr>
          <w:rFonts w:ascii="Times New Roman" w:hAnsi="Times New Roman"/>
        </w:rPr>
        <w:t xml:space="preserve"> = 0.75, 7th percentile).</w:t>
      </w:r>
    </w:p>
    <w:bookmarkEnd w:id="0"/>
    <w:p w14:paraId="74A8E50C">
      <w:pPr>
        <w:spacing w:line="480" w:lineRule="auto"/>
        <w:jc w:val="both"/>
        <w:outlineLvl w:val="0"/>
        <w:rPr>
          <w:rFonts w:hint="eastAsia" w:ascii="Times New Roman" w:hAnsi="Times New Roman" w:eastAsia="等线"/>
          <w:b/>
          <w:bCs/>
          <w:lang w:val="en-US" w:eastAsia="zh-CN"/>
        </w:rPr>
      </w:pPr>
      <w:bookmarkStart w:id="2" w:name="supplementary-table-descriptions"/>
      <w:r>
        <w:rPr>
          <w:rFonts w:ascii="Times New Roman" w:hAnsi="Times New Roman"/>
          <w:b/>
          <w:bCs/>
        </w:rPr>
        <w:t>Supplementary Table Descriptions</w:t>
      </w:r>
      <w:r>
        <w:rPr>
          <w:rFonts w:hint="eastAsia" w:ascii="Times New Roman" w:hAnsi="Times New Roman"/>
          <w:b/>
          <w:bCs/>
          <w:lang w:val="en-US" w:eastAsia="zh-CN"/>
        </w:rPr>
        <w:t xml:space="preserve"> </w:t>
      </w:r>
      <w:r>
        <w:rPr>
          <w:rFonts w:ascii="Times New Roman" w:hAnsi="Times New Roman"/>
          <w:b/>
          <w:bCs/>
        </w:rPr>
        <w:t>Legends</w:t>
      </w:r>
    </w:p>
    <w:p w14:paraId="0D676CCE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S1.</w:t>
      </w:r>
      <w:r>
        <w:rPr>
          <w:rFonts w:ascii="Times New Roman" w:hAnsi="Times New Roman"/>
        </w:rPr>
        <w:t xml:space="preserve"> CPCS characteristics and cross-population weight profiles.</w:t>
      </w:r>
    </w:p>
    <w:p w14:paraId="33877A24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S2.</w:t>
      </w:r>
      <w:r>
        <w:rPr>
          <w:rFonts w:ascii="Times New Roman" w:hAnsi="Times New Roman"/>
        </w:rPr>
        <w:t xml:space="preserve"> Parameter sensitivity analysis results (15 combinations).</w:t>
      </w:r>
    </w:p>
    <w:p w14:paraId="200D1818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S3.</w:t>
      </w:r>
      <w:r>
        <w:rPr>
          <w:rFonts w:ascii="Times New Roman" w:hAnsi="Times New Roman"/>
        </w:rPr>
        <w:t xml:space="preserve"> LD clumping results for shared SNPs.</w:t>
      </w:r>
    </w:p>
    <w:p w14:paraId="14432090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S4.</w:t>
      </w:r>
      <w:r>
        <w:rPr>
          <w:rFonts w:ascii="Times New Roman" w:hAnsi="Times New Roman"/>
        </w:rPr>
        <w:t xml:space="preserve"> GWAS confirmation excluding UK Biobank samples.</w:t>
      </w:r>
    </w:p>
    <w:p w14:paraId="4CF52C4F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S5.</w:t>
      </w:r>
      <w:r>
        <w:rPr>
          <w:rFonts w:ascii="Times New Roman" w:hAnsi="Times New Roman"/>
        </w:rPr>
        <w:t xml:space="preserve"> BioBank Japan validation results for 9 CPCS. Both P_BOLT_LMM (non-infinitesimal mixed model) and P_INF (infinitesimal model) are reported; P_INF values are used in Table 1 and main text.</w:t>
      </w:r>
    </w:p>
    <w:p w14:paraId="7A3E3BC7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S6.</w:t>
      </w:r>
      <w:r>
        <w:rPr>
          <w:rFonts w:ascii="Times New Roman" w:hAnsi="Times New Roman"/>
        </w:rPr>
        <w:t xml:space="preserve"> GWAS Catalog annotations for 9 CPCS.</w:t>
      </w:r>
    </w:p>
    <w:p w14:paraId="1088C3AE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S7.</w:t>
      </w:r>
      <w:r>
        <w:rPr>
          <w:rFonts w:ascii="Times New Roman" w:hAnsi="Times New Roman"/>
        </w:rPr>
        <w:t xml:space="preserve"> Cross-population weight heterogeneity metrics.</w:t>
      </w:r>
    </w:p>
    <w:p w14:paraId="6D021B83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S8.</w:t>
      </w:r>
      <w:r>
        <w:rPr>
          <w:rFonts w:ascii="Times New Roman" w:hAnsi="Times New Roman"/>
        </w:rPr>
        <w:t xml:space="preserve"> LD overlap with Yengo 2022 genome-wide significant SNPs.</w:t>
      </w:r>
    </w:p>
    <w:p w14:paraId="2FE62626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S9.</w:t>
      </w:r>
      <w:r>
        <w:rPr>
          <w:rFonts w:ascii="Times New Roman" w:hAnsi="Times New Roman"/>
        </w:rPr>
        <w:t xml:space="preserve"> eQTLGen cis-eQTL results (252 records, 9 </w:t>
      </w:r>
      <w:r>
        <w:rPr>
          <w:rFonts w:ascii="Times New Roman" w:hAnsi="Times New Roman"/>
          <w:i/>
          <w:iCs/>
        </w:rPr>
        <w:t>FDR</w:t>
      </w:r>
      <w:r>
        <w:rPr>
          <w:rFonts w:ascii="Times New Roman" w:hAnsi="Times New Roman"/>
        </w:rPr>
        <w:t xml:space="preserve"> &lt; 0.05).</w:t>
      </w:r>
    </w:p>
    <w:p w14:paraId="3CD9DE49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S10.</w:t>
      </w:r>
      <w:r>
        <w:rPr>
          <w:rFonts w:ascii="Times New Roman" w:hAnsi="Times New Roman"/>
        </w:rPr>
        <w:t xml:space="preserve"> Cross-population heterogeneity </w:t>
      </w:r>
      <w:r>
        <w:rPr>
          <w:rFonts w:ascii="Times New Roman" w:hAnsi="Times New Roman"/>
          <w:i/>
          <w:iCs/>
        </w:rPr>
        <w:t>CV</w:t>
      </w:r>
      <w:r>
        <w:rPr>
          <w:rFonts w:ascii="Times New Roman" w:hAnsi="Times New Roman"/>
        </w:rPr>
        <w:t xml:space="preserve"> distribution metrics.</w:t>
      </w:r>
    </w:p>
    <w:p w14:paraId="43E0A230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S11.</w:t>
      </w:r>
      <w:r>
        <w:rPr>
          <w:rFonts w:ascii="Times New Roman" w:hAnsi="Times New Roman"/>
        </w:rPr>
        <w:t xml:space="preserve"> Bayesian colocalization (COLOC) results for 9 locus-gene pairs.</w:t>
      </w:r>
    </w:p>
    <w:p w14:paraId="408A5EE1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S12.</w:t>
      </w:r>
      <w:r>
        <w:rPr>
          <w:rFonts w:ascii="Times New Roman" w:hAnsi="Times New Roman"/>
        </w:rPr>
        <w:t xml:space="preserve"> Functional annotation (VEP) for 9 CPCS.</w:t>
      </w:r>
    </w:p>
    <w:p w14:paraId="0D1240A7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S13.</w:t>
      </w:r>
      <w:r>
        <w:rPr>
          <w:rFonts w:ascii="Times New Roman" w:hAnsi="Times New Roman"/>
        </w:rPr>
        <w:t xml:space="preserve"> Subsampling stability results (1,000 iterations).</w:t>
      </w:r>
    </w:p>
    <w:p w14:paraId="0CC0BCAA">
      <w:pPr>
        <w:pStyle w:val="6"/>
        <w:numPr>
          <w:ilvl w:val="0"/>
          <w:numId w:val="0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S14.</w:t>
      </w:r>
      <w:r>
        <w:rPr>
          <w:rFonts w:ascii="Times New Roman" w:hAnsi="Times New Roman"/>
        </w:rPr>
        <w:t xml:space="preserve"> GTEx multi-tissue eQTL results across 6 tissues.</w:t>
      </w:r>
      <w:bookmarkEnd w:id="1"/>
      <w:bookmarkEnd w:id="2"/>
    </w:p>
    <w:p w14:paraId="786733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ptos">
    <w:altName w:val="Courier New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302DA"/>
    <w:rsid w:val="006C2EF8"/>
    <w:rsid w:val="055D0D39"/>
    <w:rsid w:val="06181B25"/>
    <w:rsid w:val="0820722A"/>
    <w:rsid w:val="0FB658B1"/>
    <w:rsid w:val="11200809"/>
    <w:rsid w:val="124C6A7F"/>
    <w:rsid w:val="13E8788D"/>
    <w:rsid w:val="157571FA"/>
    <w:rsid w:val="15940189"/>
    <w:rsid w:val="191464F7"/>
    <w:rsid w:val="1A421FFC"/>
    <w:rsid w:val="1B714B09"/>
    <w:rsid w:val="1BA55AD3"/>
    <w:rsid w:val="1E13008A"/>
    <w:rsid w:val="20090A29"/>
    <w:rsid w:val="215274C2"/>
    <w:rsid w:val="217B0046"/>
    <w:rsid w:val="23746AD0"/>
    <w:rsid w:val="23BD1F01"/>
    <w:rsid w:val="24ED6499"/>
    <w:rsid w:val="253C6980"/>
    <w:rsid w:val="25F82920"/>
    <w:rsid w:val="26FB4EF6"/>
    <w:rsid w:val="283D0DB2"/>
    <w:rsid w:val="28FE4582"/>
    <w:rsid w:val="2B34442C"/>
    <w:rsid w:val="2D8C36E9"/>
    <w:rsid w:val="2DC13500"/>
    <w:rsid w:val="2F351E23"/>
    <w:rsid w:val="313B69DA"/>
    <w:rsid w:val="31FB5ADB"/>
    <w:rsid w:val="33D67759"/>
    <w:rsid w:val="35E5665C"/>
    <w:rsid w:val="38C7587F"/>
    <w:rsid w:val="3A0A7814"/>
    <w:rsid w:val="3ACE5F26"/>
    <w:rsid w:val="3AF04A7F"/>
    <w:rsid w:val="3C4302DA"/>
    <w:rsid w:val="416A52CF"/>
    <w:rsid w:val="42B94DB3"/>
    <w:rsid w:val="43194604"/>
    <w:rsid w:val="49903B72"/>
    <w:rsid w:val="4DC56B97"/>
    <w:rsid w:val="508B1C8B"/>
    <w:rsid w:val="526060AA"/>
    <w:rsid w:val="529115FC"/>
    <w:rsid w:val="53D53575"/>
    <w:rsid w:val="5634270E"/>
    <w:rsid w:val="57836A08"/>
    <w:rsid w:val="58CC6415"/>
    <w:rsid w:val="5964324C"/>
    <w:rsid w:val="5C2C3FE9"/>
    <w:rsid w:val="5DAB697A"/>
    <w:rsid w:val="5DEC4FE0"/>
    <w:rsid w:val="5E2E3461"/>
    <w:rsid w:val="600A292B"/>
    <w:rsid w:val="60503193"/>
    <w:rsid w:val="61A723D3"/>
    <w:rsid w:val="64BA66E2"/>
    <w:rsid w:val="690077CC"/>
    <w:rsid w:val="6A154A30"/>
    <w:rsid w:val="6AA66640"/>
    <w:rsid w:val="6D5C6DC7"/>
    <w:rsid w:val="6E44381A"/>
    <w:rsid w:val="6E517297"/>
    <w:rsid w:val="6FCB222A"/>
    <w:rsid w:val="71626007"/>
    <w:rsid w:val="72C4103A"/>
    <w:rsid w:val="735C7F9F"/>
    <w:rsid w:val="73C958A4"/>
    <w:rsid w:val="75520B65"/>
    <w:rsid w:val="757A1A0A"/>
    <w:rsid w:val="763521A0"/>
    <w:rsid w:val="79406F03"/>
    <w:rsid w:val="7D143819"/>
    <w:rsid w:val="7D501136"/>
    <w:rsid w:val="7DBE7661"/>
    <w:rsid w:val="7E795254"/>
    <w:rsid w:val="7ED95E33"/>
    <w:rsid w:val="7F2A7F48"/>
    <w:rsid w:val="7F67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/>
    </w:pPr>
    <w:rPr>
      <w:rFonts w:ascii="Aptos" w:hAnsi="Aptos" w:eastAsia="等线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0" w:after="180"/>
    </w:pPr>
  </w:style>
  <w:style w:type="paragraph" w:customStyle="1" w:styleId="5">
    <w:name w:val="First Paragraph"/>
    <w:basedOn w:val="2"/>
    <w:next w:val="2"/>
    <w:qFormat/>
    <w:uiPriority w:val="0"/>
  </w:style>
  <w:style w:type="paragraph" w:customStyle="1" w:styleId="6">
    <w:name w:val="Compact"/>
    <w:basedOn w:val="2"/>
    <w:qFormat/>
    <w:uiPriority w:val="0"/>
    <w:pPr>
      <w:spacing w:before="36" w:after="3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2026-04-13T06:40:00Z</dcterms:created>
  <dc:creator>Yumeng Y</dc:creator>
  <cp:lastModifiedBy>Yumeng Y</cp:lastModifiedBy>
  <dcterms:modified xsi:type="dcterms:W3CDTF">2026-04-13T08:18:49Z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3349AFC5EF754E4CA00B9D011DC738F0_11</vt:lpwstr>
  </property>
  <property fmtid="{D5CDD505-2E9C-101B-9397-08002B2CF9AE}" pid="4" name="KSOTemplateDocerSaveRecord">
    <vt:lpwstr>eyJoZGlkIjoiYzNjOGRiZGQ0Njc3ODA1NjYzODc4NGRhZGZmNmZkNDAiLCJ1c2VySWQiOiIzMTYyOTIxMDcifQ==</vt:lpwstr>
  </property>
</Properties>
</file>